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05" w:rsidRDefault="006532F1" w:rsidP="00C00305">
      <w:pPr>
        <w:tabs>
          <w:tab w:val="left" w:pos="993"/>
        </w:tabs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color w:val="2B2F40"/>
          <w:sz w:val="32"/>
          <w:szCs w:val="32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32"/>
          <w:szCs w:val="32"/>
          <w:lang w:eastAsia="ru-RU"/>
        </w:rPr>
        <w:t xml:space="preserve">ПАМЯТКА </w:t>
      </w:r>
    </w:p>
    <w:p w:rsidR="006532F1" w:rsidRPr="006532F1" w:rsidRDefault="006532F1" w:rsidP="00C00305">
      <w:pPr>
        <w:tabs>
          <w:tab w:val="left" w:pos="993"/>
        </w:tabs>
        <w:spacing w:before="100" w:beforeAutospacing="1" w:line="240" w:lineRule="auto"/>
        <w:ind w:firstLine="709"/>
        <w:jc w:val="center"/>
        <w:outlineLvl w:val="3"/>
        <w:rPr>
          <w:rFonts w:ascii="Arial" w:eastAsia="Times New Roman" w:hAnsi="Arial" w:cs="Arial"/>
          <w:b/>
          <w:color w:val="2B2F40"/>
          <w:sz w:val="32"/>
          <w:szCs w:val="32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32"/>
          <w:szCs w:val="32"/>
          <w:lang w:eastAsia="ru-RU"/>
        </w:rPr>
        <w:t>работнику государственного бюджетного учреждения социального об</w:t>
      </w:r>
      <w:bookmarkStart w:id="0" w:name="_GoBack"/>
      <w:bookmarkEnd w:id="0"/>
      <w:r w:rsidRPr="006532F1">
        <w:rPr>
          <w:rFonts w:ascii="Arial" w:eastAsia="Times New Roman" w:hAnsi="Arial" w:cs="Arial"/>
          <w:b/>
          <w:color w:val="2B2F40"/>
          <w:sz w:val="32"/>
          <w:szCs w:val="32"/>
          <w:lang w:eastAsia="ru-RU"/>
        </w:rPr>
        <w:t>служивания «Правила поведения в ситуации коррупционной направленности»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1. Провокации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Во избежание возможных провокаций со стороны должностных лиц проверяемой организации в пе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риод проведения контрольных мероприятий реко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мендуется:</w:t>
      </w:r>
    </w:p>
    <w:p w:rsidR="006532F1" w:rsidRPr="006532F1" w:rsidRDefault="006532F1" w:rsidP="00C00305">
      <w:pPr>
        <w:numPr>
          <w:ilvl w:val="0"/>
          <w:numId w:val="2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не оставлять без присмотра служебные помеще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ния, в которых работают проверяющие, и личные вещи (одежда, портфели, сумки и т. д.);</w:t>
      </w:r>
    </w:p>
    <w:p w:rsidR="006532F1" w:rsidRPr="006532F1" w:rsidRDefault="006532F1" w:rsidP="00C0030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 случае обнаружения после ухода посетителя, на рабочем месте или в личных вещах каких-либо по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сторонних предметов, не предпринимая никаких са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мостоятельных действий, немедленно доложить не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посредственному руководителю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2. Если Вам предлагают взятку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numPr>
          <w:ilvl w:val="0"/>
          <w:numId w:val="3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вести себя крайне осторожно, вежливо, без заиски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вания, не допуская опрометчивых высказываний, ко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торые могли бы трактоваться взяткодателем либо как готовность, либо как категорический отказ принять взятку;</w:t>
      </w:r>
    </w:p>
    <w:p w:rsidR="006532F1" w:rsidRPr="006532F1" w:rsidRDefault="006532F1" w:rsidP="00C00305">
      <w:pPr>
        <w:numPr>
          <w:ilvl w:val="0"/>
          <w:numId w:val="3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внимательно выслушать и точно запомнить пред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ложенные Вам условия (размеры сумм, наимено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вание товаров и характер услуг, сроки и способы передачи взятки, последовательность решения во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просов);</w:t>
      </w:r>
    </w:p>
    <w:p w:rsidR="006532F1" w:rsidRPr="006532F1" w:rsidRDefault="006532F1" w:rsidP="00C00305">
      <w:pPr>
        <w:numPr>
          <w:ilvl w:val="0"/>
          <w:numId w:val="3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 и предло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жить хорошо знакомое Вам место для следующей встречи;</w:t>
      </w:r>
    </w:p>
    <w:p w:rsidR="006532F1" w:rsidRPr="006532F1" w:rsidRDefault="006532F1" w:rsidP="00C00305">
      <w:pPr>
        <w:numPr>
          <w:ilvl w:val="0"/>
          <w:numId w:val="3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не берите инициативу в разговоре на себя, больше «работайте на прием», позволяйте потенциаль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ному взяткодателю «выговориться», сообщить Вам как можно больше информации;</w:t>
      </w:r>
    </w:p>
    <w:p w:rsidR="006532F1" w:rsidRPr="006532F1" w:rsidRDefault="006532F1" w:rsidP="00C00305">
      <w:pPr>
        <w:numPr>
          <w:ilvl w:val="0"/>
          <w:numId w:val="3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при наличии у Вас диктофона постараться запи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сать (скрытно) предложение о взятке;</w:t>
      </w:r>
    </w:p>
    <w:p w:rsidR="006532F1" w:rsidRDefault="006532F1" w:rsidP="00C003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подготовить письменное сообщение по данному факту</w:t>
      </w:r>
    </w:p>
    <w:p w:rsidR="006532F1" w:rsidRPr="006532F1" w:rsidRDefault="006532F1" w:rsidP="00C00305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3. Угроза жизни и здоровью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tabs>
          <w:tab w:val="left" w:pos="993"/>
        </w:tabs>
        <w:spacing w:after="30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Если оказывается открытое давление или осущест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вляется угроза жизни и здоровью сотрудника или членам его семьи со стороны со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трудников проверяемой организации либо от других лиц рекомендуется: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по возможности скрытно включить записываю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щее устройство;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с угрожающими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руководителю, вызвать руко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водителя проверяемой организации;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 случае если угрожают в спокойном тоне (без признаков агрессии) и выдвигают какие-либо усло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вия, внимательно выслушать их, запомнить внеш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ность угрожающих и пообещать подумать над их предложением;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lastRenderedPageBreak/>
        <w:t>немедленно доложить о факте угрозы своему руко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водителю и написать заявление в правоохранитель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ные органы с подробным изложением случивше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гося;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 случае поступления угроз по телефону, по воз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можности определить номер телефона, с которого поступил звонок, и записать разговор на диктофон;</w:t>
      </w:r>
    </w:p>
    <w:p w:rsidR="006532F1" w:rsidRPr="006532F1" w:rsidRDefault="006532F1" w:rsidP="00C0030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при получении угроз в письменной форме необхо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димо принять меры по сохранению возможных отпе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чатков пальцев на бумаге (конверте), вложив их в плотно закрываемый полиэтиленовый пакет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4. Конфликты интересов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numPr>
          <w:ilvl w:val="0"/>
          <w:numId w:val="5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внимательно относиться к любой возможности воз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никновения конфликта интересов;</w:t>
      </w:r>
    </w:p>
    <w:p w:rsidR="006532F1" w:rsidRPr="006532F1" w:rsidRDefault="006532F1" w:rsidP="00C00305">
      <w:pPr>
        <w:numPr>
          <w:ilvl w:val="0"/>
          <w:numId w:val="5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принимать меры по предотвращению конфликта интересов;</w:t>
      </w:r>
    </w:p>
    <w:p w:rsidR="006532F1" w:rsidRPr="006532F1" w:rsidRDefault="006532F1" w:rsidP="00C00305">
      <w:pPr>
        <w:numPr>
          <w:ilvl w:val="0"/>
          <w:numId w:val="5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сообщать непосредственному руководителю о лю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бом реальном или потенциальном конфликте инте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ресов, как только Вам становится о нем известно;</w:t>
      </w:r>
    </w:p>
    <w:p w:rsidR="006532F1" w:rsidRPr="006532F1" w:rsidRDefault="006532F1" w:rsidP="00C00305">
      <w:pPr>
        <w:numPr>
          <w:ilvl w:val="0"/>
          <w:numId w:val="5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принять меры по преодолению возникшего кон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фликта интересов самостоятельно или по согласова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нию с руководителем;</w:t>
      </w:r>
    </w:p>
    <w:p w:rsidR="006532F1" w:rsidRPr="006532F1" w:rsidRDefault="006532F1" w:rsidP="00C0030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подчиниться решению по предотвращению или преодолению конфликта интересов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5. Подарки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numPr>
          <w:ilvl w:val="0"/>
          <w:numId w:val="6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просить (при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нимать) подарки (услуги, приглашения и любые дру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гие выгоды), предназначенные для него или для членов его семьи, родственников, а также для лиц или организаций, с которыми он имеет или имел отношения, способные повли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ять или создать видимость влияния на его беспри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страстность, стать вознаграждением или создать ви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димость вознаграждения, имеющего отношение к исполняемым служебным обязанностям;</w:t>
      </w:r>
    </w:p>
    <w:p w:rsidR="006532F1" w:rsidRPr="006532F1" w:rsidRDefault="006532F1" w:rsidP="00C0030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обычное гостеприимство и личные подарки в до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пускаемых федеральными законами формах и раз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мерах не должны создавать конфликт интересов или его видимость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6. Отношение к ненадлежащей выгоде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tabs>
          <w:tab w:val="left" w:pos="993"/>
        </w:tabs>
        <w:spacing w:after="300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Если работнику предлагается ненад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лежащая выгода</w:t>
      </w:r>
      <w:r w:rsidR="00F524AC">
        <w:rPr>
          <w:rFonts w:ascii="Arial" w:eastAsia="Times New Roman" w:hAnsi="Arial" w:cs="Arial"/>
          <w:color w:val="2B2F40"/>
          <w:sz w:val="24"/>
          <w:szCs w:val="24"/>
          <w:lang w:eastAsia="ru-RU"/>
        </w:rPr>
        <w:t xml:space="preserve"> (н</w:t>
      </w:r>
      <w:r w:rsidR="00F524AC" w:rsidRPr="00F524AC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енадлежащей выгодой сотрудника считается получение им в результате коррупционных действий денежных средств, материальных или нематериальных благ, преимуществ, не предусмотренных де</w:t>
      </w:r>
      <w:r w:rsidR="00F524AC">
        <w:rPr>
          <w:rFonts w:ascii="Arial" w:eastAsia="Times New Roman" w:hAnsi="Arial" w:cs="Arial"/>
          <w:color w:val="2B2F40"/>
          <w:sz w:val="24"/>
          <w:szCs w:val="24"/>
          <w:lang w:eastAsia="ru-RU"/>
        </w:rPr>
        <w:t xml:space="preserve">йствующим законодательством. </w:t>
      </w:r>
      <w:r w:rsidR="00F524AC" w:rsidRPr="00F524AC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Основанием получения ненадлежащей выгоды выступает корыстная мотивация сотрудника, направленная на незаконное личное обогащение или создание условий для такового.</w:t>
      </w:r>
      <w:r w:rsidR="00F524AC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)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, то с целью обеспечения своей безопасности он обязан принять следующие меры: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отказаться от ненадлежащей выгоды;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попытаться установить лицо, сделавшее такое предложение;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lastRenderedPageBreak/>
        <w:t>избегать длительных контактов, связанных с предложением ненадлежащей выгоды;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в случае, если ненадлежащую выгоду нельзя ни отклонить, ни возвратить отправителю, она должна быть передана соответствующим государст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венным органам;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довести факт предложения ненадлежащей вы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годы до сведения непосредственного руководи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теля;</w:t>
      </w:r>
    </w:p>
    <w:p w:rsidR="006532F1" w:rsidRPr="006532F1" w:rsidRDefault="006532F1" w:rsidP="00C0030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продолжать работу в обычном порядке, в осо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бенности с делом, в связи с которым была пред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ложена ненадлежащая выгода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7. Злоупотребление служебным положе</w:t>
      </w: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softHyphen/>
        <w:t>нием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numPr>
          <w:ilvl w:val="0"/>
          <w:numId w:val="8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предлагать никаких услуг, оказания предпочтения или иных выгод, каким-либо образом связанных с его долж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ностным положением, если у него нет на это закон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ного основания;</w:t>
      </w:r>
    </w:p>
    <w:p w:rsidR="006532F1" w:rsidRPr="006532F1" w:rsidRDefault="006532F1" w:rsidP="00C0030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пытаться вли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ять в своих интересах на какое бы то ни было лицо или организацию, в том числе и на других сотрудников, пользуясь своим служебным поло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жением или предлагая им ненадлежащую выгоду.</w:t>
      </w:r>
    </w:p>
    <w:p w:rsidR="006532F1" w:rsidRDefault="006532F1" w:rsidP="00C00305">
      <w:pPr>
        <w:tabs>
          <w:tab w:val="left" w:pos="993"/>
        </w:tabs>
        <w:spacing w:after="0"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b/>
          <w:color w:val="2B2F40"/>
          <w:sz w:val="24"/>
          <w:szCs w:val="24"/>
          <w:lang w:eastAsia="ru-RU"/>
        </w:rPr>
        <w:t>8. Использование информации</w:t>
      </w:r>
    </w:p>
    <w:p w:rsidR="006532F1" w:rsidRPr="006532F1" w:rsidRDefault="006532F1" w:rsidP="00C00305">
      <w:pPr>
        <w:tabs>
          <w:tab w:val="left" w:pos="993"/>
        </w:tabs>
        <w:spacing w:line="240" w:lineRule="atLeast"/>
        <w:ind w:firstLine="709"/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u w:val="single"/>
          <w:lang w:eastAsia="ru-RU"/>
        </w:rPr>
        <w:t>Рекомендации по правилам поведения:</w:t>
      </w:r>
    </w:p>
    <w:p w:rsidR="006532F1" w:rsidRPr="006532F1" w:rsidRDefault="006532F1" w:rsidP="00C00305">
      <w:pPr>
        <w:numPr>
          <w:ilvl w:val="0"/>
          <w:numId w:val="9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может сообщать и исполь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зовать служебную информацию только при соблю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дении действующих в учреждении норм и требований, принятых в соответствии с федераль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ными законами;</w:t>
      </w:r>
    </w:p>
    <w:p w:rsidR="006532F1" w:rsidRPr="006532F1" w:rsidRDefault="006532F1" w:rsidP="00C00305">
      <w:pPr>
        <w:numPr>
          <w:ilvl w:val="0"/>
          <w:numId w:val="9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обязан принимать соответ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ствующие меры для обеспечения гарантии безопас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ности и конфиденциальности информации, за кото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рую он несет ответственность или (и) которая стала известна ему в связи с исполнением служеб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ных обязанностей;</w:t>
      </w:r>
    </w:p>
    <w:p w:rsidR="006532F1" w:rsidRPr="006532F1" w:rsidRDefault="006532F1" w:rsidP="00C00305">
      <w:pPr>
        <w:numPr>
          <w:ilvl w:val="0"/>
          <w:numId w:val="9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стремиться по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лучить доступ к служебной информации, не отно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сящейся к его компетенции;</w:t>
      </w:r>
    </w:p>
    <w:p w:rsidR="006532F1" w:rsidRPr="006532F1" w:rsidRDefault="006532F1" w:rsidP="00C00305">
      <w:pPr>
        <w:numPr>
          <w:ilvl w:val="0"/>
          <w:numId w:val="9"/>
        </w:numPr>
        <w:tabs>
          <w:tab w:val="left" w:pos="993"/>
        </w:tabs>
        <w:spacing w:after="75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использовать не по назначению информацию, которую он может получить при исполнении своих служебных обязан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ностей или в связи с ними;</w:t>
      </w:r>
    </w:p>
    <w:p w:rsidR="006532F1" w:rsidRPr="006532F1" w:rsidRDefault="006532F1" w:rsidP="00C0030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B2F40"/>
          <w:sz w:val="24"/>
          <w:szCs w:val="24"/>
          <w:lang w:eastAsia="ru-RU"/>
        </w:rPr>
      </w:pP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t>работник не должен задерживать официальную информацию, которая может или должна быть пре</w:t>
      </w:r>
      <w:r w:rsidRPr="006532F1">
        <w:rPr>
          <w:rFonts w:ascii="Arial" w:eastAsia="Times New Roman" w:hAnsi="Arial" w:cs="Arial"/>
          <w:color w:val="2B2F40"/>
          <w:sz w:val="24"/>
          <w:szCs w:val="24"/>
          <w:lang w:eastAsia="ru-RU"/>
        </w:rPr>
        <w:softHyphen/>
        <w:t>дана гласности</w:t>
      </w:r>
    </w:p>
    <w:p w:rsidR="00135E33" w:rsidRPr="006532F1" w:rsidRDefault="00135E33" w:rsidP="00C00305">
      <w:pPr>
        <w:tabs>
          <w:tab w:val="left" w:pos="993"/>
        </w:tabs>
        <w:ind w:firstLine="709"/>
      </w:pPr>
    </w:p>
    <w:sectPr w:rsidR="00135E33" w:rsidRPr="006532F1" w:rsidSect="00C0030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815"/>
    <w:multiLevelType w:val="multilevel"/>
    <w:tmpl w:val="8638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3262"/>
    <w:multiLevelType w:val="multilevel"/>
    <w:tmpl w:val="132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24F3A"/>
    <w:multiLevelType w:val="multilevel"/>
    <w:tmpl w:val="72F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B6822"/>
    <w:multiLevelType w:val="multilevel"/>
    <w:tmpl w:val="4E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C176F"/>
    <w:multiLevelType w:val="hybridMultilevel"/>
    <w:tmpl w:val="871C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DE138C"/>
    <w:multiLevelType w:val="multilevel"/>
    <w:tmpl w:val="148E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9592A"/>
    <w:multiLevelType w:val="multilevel"/>
    <w:tmpl w:val="C470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B49D7"/>
    <w:multiLevelType w:val="multilevel"/>
    <w:tmpl w:val="09A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E384A"/>
    <w:multiLevelType w:val="multilevel"/>
    <w:tmpl w:val="4B6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4C"/>
    <w:rsid w:val="00095FE3"/>
    <w:rsid w:val="00135E33"/>
    <w:rsid w:val="0029161B"/>
    <w:rsid w:val="002F3810"/>
    <w:rsid w:val="00356F58"/>
    <w:rsid w:val="0039069B"/>
    <w:rsid w:val="006532F1"/>
    <w:rsid w:val="00680F46"/>
    <w:rsid w:val="00746DBB"/>
    <w:rsid w:val="007C6990"/>
    <w:rsid w:val="00871721"/>
    <w:rsid w:val="00896829"/>
    <w:rsid w:val="0098098C"/>
    <w:rsid w:val="00BF414C"/>
    <w:rsid w:val="00C00305"/>
    <w:rsid w:val="00D617C3"/>
    <w:rsid w:val="00DD5931"/>
    <w:rsid w:val="00E17A30"/>
    <w:rsid w:val="00E313BC"/>
    <w:rsid w:val="00F455C4"/>
    <w:rsid w:val="00F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5F7"/>
  <w15:docId w15:val="{ECACACEF-5EC1-4298-9FAF-2375BD78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A1F8-985D-4460-B439-4D0EFB66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2022-09-14T11:38:00Z</cp:lastPrinted>
  <dcterms:created xsi:type="dcterms:W3CDTF">2022-12-13T13:47:00Z</dcterms:created>
  <dcterms:modified xsi:type="dcterms:W3CDTF">2022-12-23T11:19:00Z</dcterms:modified>
</cp:coreProperties>
</file>